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Part Time Remote Perinatal Mental Health Therapist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Local Private Practice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www.akomacounselingconcepts.com</w:t>
        </w:r>
      </w:hyperlink>
      <w:r w:rsidDel="00000000" w:rsidR="00000000" w:rsidRPr="00000000">
        <w:rPr>
          <w:rtl w:val="0"/>
        </w:rPr>
        <w:t xml:space="preserve">  is seeking to hire a Part-time Remote Perinatal Mental Health Therapist.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Responsibilities include (but are not limited to)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-Provide Perinatal Mental Health Counseling to Birthing People of Color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-Provide general mental health counseling to women and families of Color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-Conduct intakes, Perinatal mood assessments, screenings, and clinical interventions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-Diagnose Perinatal Mood and Anxiety Disorders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-Maintain a caseload of at least 15 clients to be seen weekly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-Complete clinical documentation with 24-48 hours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-Write comprehensive clinical documentation and suitable referral notes, as required.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- Attend Perinatal Mental Health trainings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- Support clients through Perinatal loss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- Attend monthly staff meetings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Reqirements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-Therapists must be licensed and credentialed in Maryland and Washington, DC  (LGPC, LCPC, LPC, LGSW, LCSW, LCSW-C, LGMT, LCMFT, LMFT).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LG level therapists can apply but LC level therapists are preferred.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-Individual NPI Number and CAQH number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-Must have clinical experience and training in Perinatal Mental Health Counseling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-Must have clinical experience counseling women of color and diverse experiences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-Must have access to a secure and reliable internet connection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-Committed to delivering culturally congruent treatment.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-Some evening availability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Email resumes to shivonne@akcctherapy.com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akomacounselingconcep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